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5" w:name="_GoBack"/>
      <w:bookmarkEnd w:id="15"/>
      <w:r>
        <w:drawing>
          <wp:inline distT="0" distB="0" distL="0" distR="0">
            <wp:extent cx="1308100" cy="1829435"/>
            <wp:effectExtent l="0" t="0" r="6350" b="0"/>
            <wp:docPr id="1" name="图片 1" descr="C:\Users\HP\AppData\Local\Temp\WeChat Files\ed74fd793e426a91622fcb733a31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AppData\Local\Temp\WeChat Files\ed74fd793e426a91622fcb733a31e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045" cy="18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袁李兰</w:t>
      </w:r>
      <w:r>
        <w:rPr>
          <w:rFonts w:hint="eastAsia" w:ascii="仿宋" w:hAnsi="仿宋" w:eastAsia="仿宋"/>
          <w:sz w:val="28"/>
          <w:szCs w:val="28"/>
        </w:rPr>
        <w:t>，教育学博士，重庆师范大学职教师资学院讲师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教育背景：</w:t>
      </w:r>
      <w:r>
        <w:rPr>
          <w:rFonts w:ascii="Times New Roman" w:hAnsi="Times New Roman" w:eastAsia="仿宋" w:cs="Times New Roman"/>
          <w:sz w:val="28"/>
          <w:szCs w:val="28"/>
        </w:rPr>
        <w:t>2011-2015年，云南师范大学教育科学与管理学院教育学专业学习，获教育学学士学位；2015-2018年，西南大学教育学部比较教育学专业学习，获教育学硕士学位；2018-2022年</w:t>
      </w:r>
      <w:r>
        <w:rPr>
          <w:rFonts w:hint="eastAsia" w:ascii="仿宋" w:hAnsi="仿宋" w:eastAsia="仿宋"/>
          <w:sz w:val="28"/>
          <w:szCs w:val="28"/>
        </w:rPr>
        <w:t>，浙江大学教育学院比较教育学专业学习，获教育学博士学位。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研究领域：</w:t>
      </w:r>
      <w:r>
        <w:rPr>
          <w:rFonts w:hint="eastAsia" w:ascii="仿宋" w:hAnsi="仿宋" w:eastAsia="仿宋"/>
          <w:sz w:val="28"/>
          <w:szCs w:val="28"/>
        </w:rPr>
        <w:t>比较职业教育、职业教育国际化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主讲课程：</w:t>
      </w:r>
      <w:r>
        <w:rPr>
          <w:rFonts w:hint="eastAsia" w:ascii="仿宋" w:hAnsi="仿宋" w:eastAsia="仿宋"/>
          <w:sz w:val="28"/>
          <w:szCs w:val="28"/>
        </w:rPr>
        <w:t>普通教育学、比较职业技术教育等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主要科研项目：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1.国</w:t>
      </w:r>
      <w:r>
        <w:rPr>
          <w:rFonts w:hint="eastAsia" w:ascii="仿宋" w:hAnsi="仿宋" w:eastAsia="仿宋"/>
          <w:sz w:val="28"/>
          <w:szCs w:val="28"/>
        </w:rPr>
        <w:t>家社会科学基金</w:t>
      </w:r>
      <w:r>
        <w:rPr>
          <w:rFonts w:ascii="Times New Roman" w:hAnsi="Times New Roman" w:eastAsia="仿宋" w:cs="Times New Roman"/>
          <w:sz w:val="28"/>
          <w:szCs w:val="28"/>
        </w:rPr>
        <w:t>2021</w:t>
      </w:r>
      <w:r>
        <w:rPr>
          <w:rFonts w:ascii="仿宋" w:hAnsi="仿宋" w:eastAsia="仿宋"/>
          <w:sz w:val="28"/>
          <w:szCs w:val="28"/>
        </w:rPr>
        <w:t>年度教育学青年项目“新区域主义视野下东盟区域教育治理机制与成效研究”【</w:t>
      </w:r>
      <w:r>
        <w:rPr>
          <w:rFonts w:ascii="Times New Roman" w:hAnsi="Times New Roman" w:eastAsia="仿宋" w:cs="Times New Roman"/>
          <w:sz w:val="28"/>
          <w:szCs w:val="28"/>
        </w:rPr>
        <w:t>CAD210252</w:t>
      </w:r>
      <w:r>
        <w:rPr>
          <w:rFonts w:ascii="仿宋" w:hAnsi="仿宋" w:eastAsia="仿宋"/>
          <w:sz w:val="28"/>
          <w:szCs w:val="28"/>
        </w:rPr>
        <w:t>】（参与</w:t>
      </w:r>
      <w:r>
        <w:rPr>
          <w:rFonts w:hint="eastAsia" w:ascii="仿宋" w:hAnsi="仿宋" w:eastAsia="仿宋"/>
          <w:sz w:val="28"/>
          <w:szCs w:val="28"/>
        </w:rPr>
        <w:t>/</w:t>
      </w:r>
      <w:bookmarkStart w:id="0" w:name="OLE_LINK7"/>
      <w:bookmarkStart w:id="1" w:name="OLE_LINK8"/>
      <w:r>
        <w:rPr>
          <w:rFonts w:hint="eastAsia" w:ascii="仿宋" w:hAnsi="仿宋" w:eastAsia="仿宋"/>
          <w:sz w:val="28"/>
          <w:szCs w:val="28"/>
        </w:rPr>
        <w:t>在研</w:t>
      </w:r>
      <w:bookmarkEnd w:id="0"/>
      <w:bookmarkEnd w:id="1"/>
      <w:r>
        <w:rPr>
          <w:rFonts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2.教育部职业技术教育中心研究所2020年度公益基金课题</w:t>
      </w:r>
      <w:r>
        <w:rPr>
          <w:rFonts w:hint="eastAsia" w:ascii="仿宋" w:hAnsi="仿宋" w:eastAsia="仿宋"/>
          <w:sz w:val="28"/>
          <w:szCs w:val="28"/>
        </w:rPr>
        <w:t>“职业院校国际化水平提升研究”【</w:t>
      </w:r>
      <w:r>
        <w:rPr>
          <w:rFonts w:ascii="Times New Roman" w:hAnsi="Times New Roman" w:eastAsia="仿宋" w:cs="Times New Roman"/>
          <w:sz w:val="28"/>
          <w:szCs w:val="28"/>
        </w:rPr>
        <w:t>ZG202007</w:t>
      </w:r>
      <w:r>
        <w:rPr>
          <w:rFonts w:hint="eastAsia" w:ascii="仿宋" w:hAnsi="仿宋" w:eastAsia="仿宋"/>
          <w:sz w:val="28"/>
          <w:szCs w:val="28"/>
        </w:rPr>
        <w:t>】（</w:t>
      </w:r>
      <w:bookmarkStart w:id="2" w:name="OLE_LINK9"/>
      <w:bookmarkStart w:id="3" w:name="OLE_LINK10"/>
      <w:bookmarkStart w:id="4" w:name="OLE_LINK15"/>
      <w:bookmarkStart w:id="5" w:name="OLE_LINK13"/>
      <w:bookmarkStart w:id="6" w:name="OLE_LINK14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r>
        <w:rPr>
          <w:rFonts w:hint="eastAsia" w:ascii="仿宋" w:hAnsi="仿宋" w:eastAsia="仿宋"/>
          <w:sz w:val="28"/>
          <w:szCs w:val="28"/>
        </w:rPr>
        <w:t>参与/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hint="eastAsia" w:ascii="仿宋" w:hAnsi="仿宋" w:eastAsia="仿宋"/>
          <w:sz w:val="28"/>
          <w:szCs w:val="28"/>
        </w:rPr>
        <w:t>在研）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浙江大学“双一流”优势特色学科计划——全球创新人才项目（</w:t>
      </w:r>
      <w:r>
        <w:rPr>
          <w:rFonts w:hint="eastAsia" w:ascii="仿宋" w:hAnsi="仿宋" w:eastAsia="仿宋"/>
          <w:kern w:val="0"/>
          <w:sz w:val="28"/>
          <w:szCs w:val="28"/>
        </w:rPr>
        <w:t>参与/结项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国家社会科学基金</w:t>
      </w:r>
      <w:r>
        <w:rPr>
          <w:rFonts w:ascii="Times New Roman" w:hAnsi="Times New Roman" w:eastAsia="仿宋" w:cs="Times New Roman"/>
          <w:sz w:val="28"/>
          <w:szCs w:val="28"/>
        </w:rPr>
        <w:t>2014</w:t>
      </w:r>
      <w:bookmarkStart w:id="12" w:name="OLE_LINK11"/>
      <w:bookmarkStart w:id="13" w:name="OLE_LINK12"/>
      <w:r>
        <w:rPr>
          <w:rFonts w:ascii="仿宋" w:hAnsi="仿宋" w:eastAsia="仿宋"/>
          <w:sz w:val="28"/>
          <w:szCs w:val="28"/>
        </w:rPr>
        <w:t>年度一般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“职业教育质量保障研究”</w:t>
      </w: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ascii="Times New Roman" w:hAnsi="Times New Roman" w:eastAsia="仿宋" w:cs="Times New Roman"/>
          <w:sz w:val="28"/>
          <w:szCs w:val="28"/>
        </w:rPr>
        <w:t>14BGL</w:t>
      </w:r>
      <w:bookmarkEnd w:id="12"/>
      <w:bookmarkEnd w:id="13"/>
      <w:r>
        <w:rPr>
          <w:rFonts w:ascii="Times New Roman" w:hAnsi="Times New Roman" w:eastAsia="仿宋" w:cs="Times New Roman"/>
          <w:sz w:val="28"/>
          <w:szCs w:val="28"/>
        </w:rPr>
        <w:t>129</w:t>
      </w:r>
      <w:r>
        <w:rPr>
          <w:rFonts w:hint="eastAsia" w:ascii="仿宋" w:hAnsi="仿宋" w:eastAsia="仿宋"/>
          <w:sz w:val="28"/>
          <w:szCs w:val="28"/>
        </w:rPr>
        <w:t>】（参与/结项）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主要学术论文：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1.袁李兰</w:t>
      </w:r>
      <w:r>
        <w:rPr>
          <w:rFonts w:ascii="Times New Roman" w:hAnsi="Times New Roman" w:eastAsia="仿宋" w:cs="Times New Roman"/>
          <w:sz w:val="28"/>
          <w:szCs w:val="28"/>
        </w:rPr>
        <w:t xml:space="preserve">, </w:t>
      </w:r>
      <w:r>
        <w:rPr>
          <w:rFonts w:hint="eastAsia" w:ascii="Times New Roman" w:hAnsi="Times New Roman" w:eastAsia="仿宋" w:cs="Times New Roman"/>
          <w:sz w:val="28"/>
          <w:szCs w:val="28"/>
        </w:rPr>
        <w:t>吴雪萍.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澳大利亚对外职业教育援助：动因、路径与特征</w:t>
      </w:r>
      <w:bookmarkStart w:id="14" w:name="OLE_LINK3"/>
      <w:r>
        <w:rPr>
          <w:rFonts w:hint="eastAsia" w:ascii="Times New Roman" w:hAnsi="Times New Roman" w:eastAsia="仿宋" w:cs="Times New Roman"/>
          <w:sz w:val="28"/>
          <w:szCs w:val="28"/>
        </w:rPr>
        <w:t>[</w:t>
      </w:r>
      <w:r>
        <w:rPr>
          <w:rFonts w:ascii="Times New Roman" w:hAnsi="Times New Roman" w:eastAsia="仿宋" w:cs="Times New Roman"/>
          <w:sz w:val="28"/>
          <w:szCs w:val="28"/>
        </w:rPr>
        <w:t>J].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</w:t>
      </w:r>
      <w:bookmarkEnd w:id="14"/>
      <w:r>
        <w:rPr>
          <w:rFonts w:hint="eastAsia" w:ascii="Times New Roman" w:hAnsi="Times New Roman" w:eastAsia="仿宋" w:cs="Times New Roman"/>
          <w:sz w:val="28"/>
          <w:szCs w:val="28"/>
        </w:rPr>
        <w:t>比较教育研究,</w:t>
      </w:r>
      <w:r>
        <w:rPr>
          <w:rFonts w:ascii="Times New Roman" w:hAnsi="Times New Roman" w:eastAsia="仿宋" w:cs="Times New Roman"/>
          <w:sz w:val="28"/>
          <w:szCs w:val="28"/>
        </w:rPr>
        <w:t xml:space="preserve"> 2022(3): 95-103.</w:t>
      </w:r>
      <w:r>
        <w:rPr>
          <w:rFonts w:hint="eastAsia" w:ascii="Times New Roman" w:hAnsi="Times New Roman" w:eastAsia="仿宋" w:cs="Times New Roman"/>
          <w:sz w:val="28"/>
          <w:szCs w:val="28"/>
        </w:rPr>
        <w:t>（C</w:t>
      </w:r>
      <w:r>
        <w:rPr>
          <w:rFonts w:ascii="Times New Roman" w:hAnsi="Times New Roman" w:eastAsia="仿宋" w:cs="Times New Roman"/>
          <w:sz w:val="28"/>
          <w:szCs w:val="28"/>
        </w:rPr>
        <w:t>SSCI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2.吴雪萍,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袁李兰.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澳大利亚跨国高等教育竞争力</w:t>
      </w:r>
      <w:r>
        <w:rPr>
          <w:rFonts w:ascii="Times New Roman" w:hAnsi="Times New Roman" w:eastAsia="仿宋" w:cs="Times New Roman"/>
          <w:sz w:val="28"/>
          <w:szCs w:val="28"/>
        </w:rPr>
        <w:t>提升</w:t>
      </w:r>
      <w:r>
        <w:rPr>
          <w:rFonts w:hint="eastAsia" w:ascii="Times New Roman" w:hAnsi="Times New Roman" w:eastAsia="仿宋" w:cs="Times New Roman"/>
          <w:sz w:val="28"/>
          <w:szCs w:val="28"/>
        </w:rPr>
        <w:t>策略研究[</w:t>
      </w:r>
      <w:r>
        <w:rPr>
          <w:rFonts w:ascii="Times New Roman" w:hAnsi="Times New Roman" w:eastAsia="仿宋" w:cs="Times New Roman"/>
          <w:sz w:val="28"/>
          <w:szCs w:val="28"/>
        </w:rPr>
        <w:t xml:space="preserve">J]. </w:t>
      </w:r>
      <w:r>
        <w:rPr>
          <w:rFonts w:hint="eastAsia" w:ascii="Times New Roman" w:hAnsi="Times New Roman" w:eastAsia="仿宋" w:cs="Times New Roman"/>
          <w:sz w:val="28"/>
          <w:szCs w:val="28"/>
        </w:rPr>
        <w:t>比较教育研究,</w:t>
      </w:r>
      <w:r>
        <w:rPr>
          <w:rFonts w:ascii="Times New Roman" w:hAnsi="Times New Roman" w:eastAsia="仿宋" w:cs="Times New Roman"/>
          <w:sz w:val="28"/>
          <w:szCs w:val="28"/>
        </w:rPr>
        <w:t xml:space="preserve"> 2021(7): 56-64.</w:t>
      </w:r>
      <w:r>
        <w:rPr>
          <w:rFonts w:hint="eastAsia" w:ascii="Times New Roman" w:hAnsi="Times New Roman" w:eastAsia="仿宋" w:cs="Times New Roman"/>
          <w:sz w:val="28"/>
          <w:szCs w:val="28"/>
        </w:rPr>
        <w:t>（C</w:t>
      </w:r>
      <w:r>
        <w:rPr>
          <w:rFonts w:ascii="Times New Roman" w:hAnsi="Times New Roman" w:eastAsia="仿宋" w:cs="Times New Roman"/>
          <w:sz w:val="28"/>
          <w:szCs w:val="28"/>
        </w:rPr>
        <w:t>SSCI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3.</w:t>
      </w:r>
      <w:r>
        <w:rPr>
          <w:rFonts w:ascii="Times New Roman" w:hAnsi="Times New Roman" w:eastAsia="仿宋" w:cs="Times New Roman"/>
          <w:sz w:val="28"/>
          <w:szCs w:val="28"/>
        </w:rPr>
        <w:t>吴雪萍, 袁李兰. 澳大利亚高校提升境外办学质量的背景、策略与启示[J]. 高等教育研究, 2020 (10): 91-100.</w:t>
      </w:r>
      <w:r>
        <w:rPr>
          <w:rFonts w:hint="eastAsia" w:ascii="Times New Roman" w:hAnsi="Times New Roman" w:eastAsia="仿宋" w:cs="Times New Roman"/>
          <w:sz w:val="28"/>
          <w:szCs w:val="28"/>
        </w:rPr>
        <w:t>（C</w:t>
      </w:r>
      <w:r>
        <w:rPr>
          <w:rFonts w:ascii="Times New Roman" w:hAnsi="Times New Roman" w:eastAsia="仿宋" w:cs="Times New Roman"/>
          <w:sz w:val="28"/>
          <w:szCs w:val="28"/>
        </w:rPr>
        <w:t>SSCI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z w:val="28"/>
          <w:szCs w:val="28"/>
        </w:rPr>
        <w:t>吴雪萍</w:t>
      </w:r>
      <w:r>
        <w:rPr>
          <w:rFonts w:hint="eastAsia" w:ascii="Times New Roman" w:hAnsi="Times New Roman" w:eastAsia="仿宋" w:cs="Times New Roman"/>
          <w:sz w:val="28"/>
          <w:szCs w:val="28"/>
        </w:rPr>
        <w:t>,</w:t>
      </w:r>
      <w:r>
        <w:rPr>
          <w:rFonts w:ascii="Times New Roman" w:hAnsi="Times New Roman" w:eastAsia="仿宋" w:cs="Times New Roman"/>
          <w:sz w:val="28"/>
          <w:szCs w:val="28"/>
        </w:rPr>
        <w:t>袁李兰.美国研究型大学研究生创新人才培养的基础、经验及其启示[J].高等教育研究, 2019(6):102-109.</w:t>
      </w:r>
      <w:r>
        <w:rPr>
          <w:rFonts w:hint="eastAsia" w:ascii="Times New Roman" w:hAnsi="Times New Roman" w:eastAsia="仿宋" w:cs="Times New Roman"/>
          <w:sz w:val="28"/>
          <w:szCs w:val="28"/>
        </w:rPr>
        <w:t>（C</w:t>
      </w:r>
      <w:r>
        <w:rPr>
          <w:rFonts w:ascii="Times New Roman" w:hAnsi="Times New Roman" w:eastAsia="仿宋" w:cs="Times New Roman"/>
          <w:sz w:val="28"/>
          <w:szCs w:val="28"/>
        </w:rPr>
        <w:t>SSCI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5.</w:t>
      </w:r>
      <w:r>
        <w:rPr>
          <w:rFonts w:ascii="Times New Roman" w:hAnsi="Times New Roman" w:eastAsia="仿宋" w:cs="Times New Roman"/>
          <w:sz w:val="28"/>
          <w:szCs w:val="28"/>
        </w:rPr>
        <w:t>袁李兰, 陈悦. 欧盟职业教育和培训国际化举措分析[J]. 职业技术教育,2019 (3): 56-61.</w:t>
      </w:r>
      <w:r>
        <w:rPr>
          <w:rFonts w:hint="eastAsia" w:ascii="Times New Roman" w:hAnsi="Times New Roman" w:eastAsia="仿宋" w:cs="Times New Roman"/>
          <w:sz w:val="28"/>
          <w:szCs w:val="28"/>
        </w:rPr>
        <w:t>（北核）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袁李兰, 杨梅. 英国留学生教育的经济收益及其原因探析[J]. 高教探索, 2019(1): 64-72.</w:t>
      </w:r>
      <w:r>
        <w:rPr>
          <w:rFonts w:hint="eastAsia" w:ascii="Times New Roman" w:hAnsi="Times New Roman" w:eastAsia="仿宋" w:cs="Times New Roman"/>
          <w:sz w:val="28"/>
          <w:szCs w:val="28"/>
        </w:rPr>
        <w:t>（C</w:t>
      </w:r>
      <w:r>
        <w:rPr>
          <w:rFonts w:ascii="Times New Roman" w:hAnsi="Times New Roman" w:eastAsia="仿宋" w:cs="Times New Roman"/>
          <w:sz w:val="28"/>
          <w:szCs w:val="28"/>
        </w:rPr>
        <w:t>SSCI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7.袁李兰，杨梅. 美国社区学院国际化及困境[J]. 高教探索, 2018(1): 76</w:t>
      </w:r>
      <w:r>
        <w:rPr>
          <w:rFonts w:ascii="Times New Roman" w:hAnsi="Times New Roman" w:eastAsia="仿宋" w:cs="Times New Roman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sz w:val="28"/>
          <w:szCs w:val="28"/>
        </w:rPr>
        <w:t>82.（CSSCI）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Times New Roman" w:eastAsia="仿宋" w:cs="Times New Roman"/>
          <w:sz w:val="28"/>
          <w:szCs w:val="28"/>
        </w:rPr>
        <w:t>袁李兰, 杨梅. 优质教育视野下英国学院类学校的教育政策解读[J].教师教育学报, 2018(4): 102-111.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9.杨梅，袁李兰.“全纳”还是“特殊”：英国关于全纳教育的争议[J]. 比较教育研究, 2017(3): 82</w:t>
      </w:r>
      <w:r>
        <w:rPr>
          <w:rFonts w:ascii="Times New Roman" w:hAnsi="Times New Roman" w:eastAsia="仿宋" w:cs="Times New Roman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sz w:val="28"/>
          <w:szCs w:val="28"/>
        </w:rPr>
        <w:t>88.（CSSCI）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E"/>
    <w:rsid w:val="001E05D0"/>
    <w:rsid w:val="002617F6"/>
    <w:rsid w:val="00450F36"/>
    <w:rsid w:val="00555BC5"/>
    <w:rsid w:val="005B26ED"/>
    <w:rsid w:val="007053CA"/>
    <w:rsid w:val="00751DE8"/>
    <w:rsid w:val="00A7102E"/>
    <w:rsid w:val="00C2428A"/>
    <w:rsid w:val="00C31F11"/>
    <w:rsid w:val="00CE15B9"/>
    <w:rsid w:val="00DA2139"/>
    <w:rsid w:val="00EB3396"/>
    <w:rsid w:val="00FE4111"/>
    <w:rsid w:val="464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718</Words>
  <Characters>956</Characters>
  <Lines>7</Lines>
  <Paragraphs>2</Paragraphs>
  <TotalTime>29</TotalTime>
  <ScaleCrop>false</ScaleCrop>
  <LinksUpToDate>false</LinksUpToDate>
  <CharactersWithSpaces>995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2022-09-27T02:44:00Z</dcterms:created>
  <dc:creator>HP</dc:creator>
  <cp:lastModifiedBy>Administrator</cp:lastModifiedBy>
  <dcterms:modified xsi:type="dcterms:W3CDTF">2022-09-27T09:18:24Z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A1DDFC5843474520B273CE20C2EA68D0</vt:lpwstr>
  </property>
</Properties>
</file>